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89837" w14:textId="77777777" w:rsidR="000C6672" w:rsidRDefault="000C6672">
      <w:pPr>
        <w:pStyle w:val="Textoindependiente"/>
        <w:rPr>
          <w:rFonts w:ascii="Times New Roman"/>
          <w:sz w:val="37"/>
        </w:rPr>
      </w:pPr>
    </w:p>
    <w:p w14:paraId="10A89838" w14:textId="77777777" w:rsidR="000C6672" w:rsidRDefault="000C6672">
      <w:pPr>
        <w:pStyle w:val="Textoindependiente"/>
        <w:spacing w:before="137"/>
        <w:rPr>
          <w:rFonts w:ascii="Times New Roman"/>
          <w:sz w:val="37"/>
        </w:rPr>
      </w:pPr>
    </w:p>
    <w:p w14:paraId="10A89839" w14:textId="77777777" w:rsidR="000C6672" w:rsidRDefault="00000000">
      <w:pPr>
        <w:ind w:left="360"/>
        <w:rPr>
          <w:b/>
          <w:sz w:val="37"/>
        </w:rPr>
      </w:pPr>
      <w:r>
        <w:rPr>
          <w:b/>
          <w:bCs/>
          <w:color w:val="374444"/>
          <w:sz w:val="37"/>
          <w:lang w:val="es"/>
        </w:rPr>
        <w:t>Hoja informativa:</w:t>
      </w:r>
    </w:p>
    <w:p w14:paraId="10A8983A" w14:textId="77777777" w:rsidR="000C6672" w:rsidRDefault="00000000" w:rsidP="00F82503">
      <w:pPr>
        <w:spacing w:before="27" w:line="254" w:lineRule="auto"/>
        <w:ind w:left="360" w:right="517"/>
        <w:rPr>
          <w:sz w:val="37"/>
        </w:rPr>
      </w:pPr>
      <w:r>
        <w:rPr>
          <w:color w:val="374444"/>
          <w:sz w:val="37"/>
          <w:lang w:val="es"/>
        </w:rPr>
        <w:t>Copagos del Programa Federal de Salud Provisional por beneficios de salud complementarios</w:t>
      </w:r>
    </w:p>
    <w:p w14:paraId="10A8983B" w14:textId="77777777" w:rsidR="000C6672" w:rsidRDefault="00000000">
      <w:pPr>
        <w:spacing w:before="384" w:line="271" w:lineRule="auto"/>
        <w:ind w:left="362" w:right="13"/>
        <w:rPr>
          <w:sz w:val="27"/>
        </w:rPr>
      </w:pPr>
      <w:r>
        <w:rPr>
          <w:b/>
          <w:bCs/>
          <w:sz w:val="27"/>
          <w:lang w:val="es"/>
        </w:rPr>
        <w:t>Desde el 1 de mayo de 2026</w:t>
      </w:r>
      <w:r>
        <w:rPr>
          <w:sz w:val="27"/>
          <w:lang w:val="es"/>
        </w:rPr>
        <w:t>, el Programa Federal de Salud Provisional (IFHP) introducirá copagos por beneficios de salud complementarios.</w:t>
      </w:r>
    </w:p>
    <w:p w14:paraId="10A8983C" w14:textId="77777777" w:rsidR="000C6672" w:rsidRDefault="000C6672">
      <w:pPr>
        <w:pStyle w:val="Textoindependiente"/>
      </w:pPr>
    </w:p>
    <w:p w14:paraId="10A8983D" w14:textId="77777777" w:rsidR="000C6672" w:rsidRDefault="000C6672">
      <w:pPr>
        <w:pStyle w:val="Textoindependiente"/>
        <w:spacing w:before="135"/>
      </w:pPr>
    </w:p>
    <w:p w14:paraId="10A8983E" w14:textId="77777777" w:rsidR="000C6672" w:rsidRDefault="00000000">
      <w:pPr>
        <w:pStyle w:val="Textoindependiente"/>
        <w:ind w:left="1943"/>
      </w:pPr>
      <w:r>
        <w:rPr>
          <w:lang w:val="es"/>
        </w:rPr>
        <w:t>Para obtener más información, visite:</w:t>
      </w:r>
    </w:p>
    <w:p w14:paraId="10A8983F" w14:textId="77777777" w:rsidR="000C6672" w:rsidRDefault="00000000">
      <w:pPr>
        <w:pStyle w:val="Textoindependiente"/>
        <w:spacing w:before="30"/>
        <w:ind w:left="1943"/>
      </w:pPr>
      <w:r>
        <w:rPr>
          <w:b/>
          <w:bCs/>
          <w:lang w:val="es"/>
        </w:rPr>
        <w:t>Canada.ca/ifhp-copayments</w:t>
      </w:r>
      <w:r>
        <w:rPr>
          <w:lang w:val="es"/>
        </w:rPr>
        <w:t>.</w:t>
      </w:r>
    </w:p>
    <w:p w14:paraId="10A89840" w14:textId="77777777" w:rsidR="000C6672" w:rsidRDefault="000C6672">
      <w:pPr>
        <w:pStyle w:val="Textoindependiente"/>
        <w:rPr>
          <w:sz w:val="32"/>
        </w:rPr>
      </w:pPr>
    </w:p>
    <w:p w14:paraId="10A89841" w14:textId="77777777" w:rsidR="000C6672" w:rsidRDefault="000C6672">
      <w:pPr>
        <w:pStyle w:val="Textoindependiente"/>
        <w:rPr>
          <w:sz w:val="32"/>
        </w:rPr>
      </w:pPr>
    </w:p>
    <w:p w14:paraId="10A89842" w14:textId="77777777" w:rsidR="000C6672" w:rsidRDefault="000C6672">
      <w:pPr>
        <w:pStyle w:val="Textoindependiente"/>
        <w:rPr>
          <w:sz w:val="32"/>
        </w:rPr>
      </w:pPr>
    </w:p>
    <w:p w14:paraId="10A89843" w14:textId="77777777" w:rsidR="000C6672" w:rsidRDefault="000C6672">
      <w:pPr>
        <w:pStyle w:val="Textoindependiente"/>
        <w:rPr>
          <w:sz w:val="32"/>
        </w:rPr>
      </w:pPr>
    </w:p>
    <w:p w14:paraId="10A89844" w14:textId="77777777" w:rsidR="000C6672" w:rsidRDefault="000C6672">
      <w:pPr>
        <w:pStyle w:val="Textoindependiente"/>
        <w:spacing w:before="96"/>
        <w:rPr>
          <w:sz w:val="32"/>
        </w:rPr>
      </w:pPr>
    </w:p>
    <w:p w14:paraId="10A89845" w14:textId="77777777" w:rsidR="000C6672" w:rsidRDefault="00000000">
      <w:pPr>
        <w:spacing w:before="1"/>
        <w:ind w:left="359"/>
        <w:jc w:val="both"/>
        <w:rPr>
          <w:b/>
          <w:sz w:val="32"/>
        </w:rPr>
      </w:pPr>
      <w:r>
        <w:rPr>
          <w:b/>
          <w:bCs/>
          <w:color w:val="464547"/>
          <w:sz w:val="32"/>
          <w:lang w:val="es"/>
        </w:rPr>
        <w:t>¿Qué es un copago y cuál será su valor?</w:t>
      </w:r>
    </w:p>
    <w:p w14:paraId="10A89846" w14:textId="77777777" w:rsidR="000C6672" w:rsidRDefault="00000000">
      <w:pPr>
        <w:pStyle w:val="Textoindependiente"/>
        <w:spacing w:before="200" w:line="278" w:lineRule="auto"/>
        <w:ind w:left="359" w:right="434"/>
        <w:jc w:val="both"/>
      </w:pPr>
      <w:r>
        <w:rPr>
          <w:lang w:val="es"/>
        </w:rPr>
        <w:t xml:space="preserve">Un copago es </w:t>
      </w:r>
      <w:r>
        <w:rPr>
          <w:b/>
          <w:bCs/>
          <w:lang w:val="es"/>
        </w:rPr>
        <w:t xml:space="preserve">la parte del costo que los beneficiarios pagan </w:t>
      </w:r>
      <w:r>
        <w:rPr>
          <w:lang w:val="es"/>
        </w:rPr>
        <w:t>directamente a su proveedor de atención médica registrado en el IFHP cuando reciben servicios y productos complementarios elegibles que están cubiertos según lo dispuesto por el IFHP.</w:t>
      </w:r>
    </w:p>
    <w:p w14:paraId="10A89847" w14:textId="77777777" w:rsidR="000C6672" w:rsidRDefault="00000000">
      <w:pPr>
        <w:pStyle w:val="Textoindependiente"/>
        <w:spacing w:before="178"/>
        <w:ind w:left="359"/>
      </w:pPr>
      <w:r>
        <w:rPr>
          <w:lang w:val="es"/>
        </w:rPr>
        <w:t>Los beneficiarios deben pagar:</w:t>
      </w:r>
    </w:p>
    <w:p w14:paraId="10A89848" w14:textId="77777777" w:rsidR="000C6672" w:rsidRDefault="00000000" w:rsidP="00F82503">
      <w:pPr>
        <w:pStyle w:val="Prrafodelista"/>
        <w:numPr>
          <w:ilvl w:val="0"/>
          <w:numId w:val="1"/>
        </w:numPr>
        <w:tabs>
          <w:tab w:val="left" w:pos="628"/>
        </w:tabs>
        <w:spacing w:before="40"/>
        <w:ind w:left="628" w:right="-475" w:hanging="269"/>
      </w:pPr>
      <w:r>
        <w:rPr>
          <w:b/>
          <w:bCs/>
          <w:lang w:val="es"/>
        </w:rPr>
        <w:t xml:space="preserve">$4 por cada medicamento recetado surtido o resurtido </w:t>
      </w:r>
      <w:r>
        <w:rPr>
          <w:lang w:val="es"/>
        </w:rPr>
        <w:t xml:space="preserve">en virtud de las políticas del </w:t>
      </w:r>
      <w:proofErr w:type="spellStart"/>
      <w:r>
        <w:rPr>
          <w:lang w:val="es"/>
        </w:rPr>
        <w:t>IFHP</w:t>
      </w:r>
      <w:proofErr w:type="spellEnd"/>
      <w:r>
        <w:rPr>
          <w:lang w:val="es"/>
        </w:rPr>
        <w:t>, y</w:t>
      </w:r>
    </w:p>
    <w:p w14:paraId="10A89849" w14:textId="77777777" w:rsidR="000C6672" w:rsidRDefault="00000000">
      <w:pPr>
        <w:pStyle w:val="Prrafodelista"/>
        <w:numPr>
          <w:ilvl w:val="0"/>
          <w:numId w:val="1"/>
        </w:numPr>
        <w:tabs>
          <w:tab w:val="left" w:pos="628"/>
        </w:tabs>
        <w:spacing w:before="76"/>
        <w:ind w:left="628" w:hanging="269"/>
      </w:pPr>
      <w:r>
        <w:rPr>
          <w:b/>
          <w:bCs/>
          <w:lang w:val="es"/>
        </w:rPr>
        <w:t>el 30 % del costo</w:t>
      </w:r>
      <w:r>
        <w:rPr>
          <w:lang w:val="es"/>
        </w:rPr>
        <w:t xml:space="preserve"> de todos los servicios y productos de salud complementarios elegibles.</w:t>
      </w:r>
    </w:p>
    <w:p w14:paraId="10A8984A" w14:textId="77777777" w:rsidR="000C6672" w:rsidRDefault="00000000" w:rsidP="00F82503">
      <w:pPr>
        <w:pStyle w:val="Textoindependiente"/>
        <w:spacing w:before="219" w:line="278" w:lineRule="auto"/>
        <w:ind w:left="359" w:right="-333"/>
      </w:pPr>
      <w:r>
        <w:rPr>
          <w:b/>
          <w:bCs/>
          <w:lang w:val="es"/>
        </w:rPr>
        <w:t>Los beneficios de atención médica básica</w:t>
      </w:r>
      <w:r>
        <w:rPr>
          <w:lang w:val="es"/>
        </w:rPr>
        <w:t>, incluidas las visitas al médico y la atención en el hospital, seguirán siendo gratuitos en virtud de lo dispuesto por el IFHP; no se exigen copagos.</w:t>
      </w:r>
    </w:p>
    <w:p w14:paraId="10A8984B" w14:textId="77777777" w:rsidR="000C6672" w:rsidRDefault="000C6672">
      <w:pPr>
        <w:pStyle w:val="Textoindependiente"/>
        <w:spacing w:before="201"/>
      </w:pPr>
    </w:p>
    <w:p w14:paraId="10A8984C" w14:textId="77777777" w:rsidR="000C6672" w:rsidRDefault="00000000">
      <w:pPr>
        <w:pStyle w:val="Textoindependiente"/>
        <w:ind w:left="648"/>
        <w:rPr>
          <w:b/>
        </w:rPr>
      </w:pPr>
      <w:r>
        <w:rPr>
          <w:noProof/>
          <w:lang w:val="es"/>
        </w:rPr>
        <w:drawing>
          <wp:anchor distT="0" distB="0" distL="0" distR="0" simplePos="0" relativeHeight="487545344" behindDoc="1" locked="0" layoutInCell="1" allowOverlap="1" wp14:anchorId="10A8985C" wp14:editId="10A8985D">
            <wp:simplePos x="0" y="0"/>
            <wp:positionH relativeFrom="page">
              <wp:posOffset>685800</wp:posOffset>
            </wp:positionH>
            <wp:positionV relativeFrom="paragraph">
              <wp:posOffset>-145002</wp:posOffset>
            </wp:positionV>
            <wp:extent cx="6400800" cy="177025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6400800" cy="1770252"/>
                    </a:xfrm>
                    <a:prstGeom prst="rect">
                      <a:avLst/>
                    </a:prstGeom>
                  </pic:spPr>
                </pic:pic>
              </a:graphicData>
            </a:graphic>
          </wp:anchor>
        </w:drawing>
      </w:r>
      <w:r>
        <w:rPr>
          <w:b/>
          <w:bCs/>
          <w:lang w:val="es"/>
        </w:rPr>
        <w:t>Los servicios o productos complementarios cubiertos por el IFHP incluyen:</w:t>
      </w:r>
    </w:p>
    <w:p w14:paraId="10A8984D" w14:textId="77777777" w:rsidR="000C6672" w:rsidRDefault="000C6672">
      <w:pPr>
        <w:pStyle w:val="Textoindependiente"/>
        <w:rPr>
          <w:b/>
        </w:rPr>
        <w:sectPr w:rsidR="000C6672">
          <w:footerReference w:type="default" r:id="rId8"/>
          <w:type w:val="continuous"/>
          <w:pgSz w:w="12240" w:h="15840"/>
          <w:pgMar w:top="0" w:right="1080" w:bottom="980" w:left="720" w:header="0" w:footer="783" w:gutter="0"/>
          <w:pgNumType w:start="1"/>
          <w:cols w:space="720"/>
        </w:sectPr>
      </w:pPr>
    </w:p>
    <w:p w14:paraId="10A8984E" w14:textId="77777777" w:rsidR="000C6672" w:rsidRDefault="00000000">
      <w:pPr>
        <w:pStyle w:val="Prrafodelista"/>
        <w:numPr>
          <w:ilvl w:val="1"/>
          <w:numId w:val="1"/>
        </w:numPr>
        <w:tabs>
          <w:tab w:val="left" w:pos="917"/>
        </w:tabs>
        <w:spacing w:before="115"/>
        <w:ind w:left="917" w:hanging="269"/>
      </w:pPr>
      <w:r>
        <w:rPr>
          <w:lang w:val="es"/>
        </w:rPr>
        <w:t>Medicamentos recetados</w:t>
      </w:r>
    </w:p>
    <w:p w14:paraId="10A8984F" w14:textId="77777777" w:rsidR="000C6672" w:rsidRDefault="00000000" w:rsidP="00F82503">
      <w:pPr>
        <w:pStyle w:val="Prrafodelista"/>
        <w:numPr>
          <w:ilvl w:val="1"/>
          <w:numId w:val="1"/>
        </w:numPr>
        <w:tabs>
          <w:tab w:val="left" w:pos="917"/>
        </w:tabs>
        <w:spacing w:before="76"/>
        <w:ind w:left="917" w:right="-630" w:hanging="269"/>
      </w:pPr>
      <w:r>
        <w:rPr>
          <w:lang w:val="es"/>
        </w:rPr>
        <w:t>Atención dental de urgencia</w:t>
      </w:r>
    </w:p>
    <w:p w14:paraId="10A89850" w14:textId="77777777" w:rsidR="000C6672" w:rsidRDefault="00000000">
      <w:pPr>
        <w:pStyle w:val="Prrafodelista"/>
        <w:numPr>
          <w:ilvl w:val="1"/>
          <w:numId w:val="1"/>
        </w:numPr>
        <w:tabs>
          <w:tab w:val="left" w:pos="917"/>
        </w:tabs>
        <w:ind w:left="917" w:hanging="269"/>
      </w:pPr>
      <w:r>
        <w:rPr>
          <w:lang w:val="es"/>
        </w:rPr>
        <w:t>Atención de la vista</w:t>
      </w:r>
    </w:p>
    <w:p w14:paraId="10A89851" w14:textId="77777777" w:rsidR="000C6672" w:rsidRDefault="00000000" w:rsidP="00F82503">
      <w:pPr>
        <w:pStyle w:val="Prrafodelista"/>
        <w:numPr>
          <w:ilvl w:val="1"/>
          <w:numId w:val="1"/>
        </w:numPr>
        <w:tabs>
          <w:tab w:val="left" w:pos="917"/>
        </w:tabs>
        <w:ind w:left="917" w:right="-913" w:hanging="269"/>
      </w:pPr>
      <w:r>
        <w:rPr>
          <w:lang w:val="es"/>
        </w:rPr>
        <w:t>Asesoramiento en salud mental</w:t>
      </w:r>
    </w:p>
    <w:p w14:paraId="10A89852" w14:textId="77777777" w:rsidR="000C6672" w:rsidRDefault="00000000">
      <w:pPr>
        <w:pStyle w:val="Prrafodelista"/>
        <w:numPr>
          <w:ilvl w:val="1"/>
          <w:numId w:val="1"/>
        </w:numPr>
        <w:tabs>
          <w:tab w:val="left" w:pos="917"/>
        </w:tabs>
        <w:ind w:left="917" w:hanging="269"/>
      </w:pPr>
      <w:r>
        <w:rPr>
          <w:lang w:val="es"/>
        </w:rPr>
        <w:t>Terapia ocupacional</w:t>
      </w:r>
    </w:p>
    <w:p w14:paraId="10A89853" w14:textId="77777777" w:rsidR="000C6672" w:rsidRDefault="00000000">
      <w:pPr>
        <w:pStyle w:val="Prrafodelista"/>
        <w:numPr>
          <w:ilvl w:val="1"/>
          <w:numId w:val="1"/>
        </w:numPr>
        <w:tabs>
          <w:tab w:val="left" w:pos="917"/>
        </w:tabs>
        <w:ind w:left="917" w:hanging="269"/>
      </w:pPr>
      <w:r>
        <w:rPr>
          <w:lang w:val="es"/>
        </w:rPr>
        <w:t>Fisioterapia</w:t>
      </w:r>
    </w:p>
    <w:p w14:paraId="10A89854" w14:textId="77777777" w:rsidR="000C6672" w:rsidRDefault="00000000">
      <w:pPr>
        <w:pStyle w:val="Prrafodelista"/>
        <w:numPr>
          <w:ilvl w:val="1"/>
          <w:numId w:val="1"/>
        </w:numPr>
        <w:tabs>
          <w:tab w:val="left" w:pos="917"/>
        </w:tabs>
        <w:spacing w:before="115"/>
        <w:ind w:left="917" w:hanging="269"/>
      </w:pPr>
      <w:r>
        <w:rPr>
          <w:lang w:val="es"/>
        </w:rPr>
        <w:br w:type="column"/>
      </w:r>
      <w:r>
        <w:rPr>
          <w:lang w:val="es"/>
        </w:rPr>
        <w:t>Terapia del habla y del lenguaje</w:t>
      </w:r>
    </w:p>
    <w:p w14:paraId="10A89855" w14:textId="77777777" w:rsidR="000C6672" w:rsidRDefault="00000000" w:rsidP="00F82503">
      <w:pPr>
        <w:pStyle w:val="Prrafodelista"/>
        <w:numPr>
          <w:ilvl w:val="1"/>
          <w:numId w:val="1"/>
        </w:numPr>
        <w:tabs>
          <w:tab w:val="left" w:pos="918"/>
        </w:tabs>
        <w:spacing w:before="76" w:line="278" w:lineRule="auto"/>
        <w:ind w:right="173"/>
      </w:pPr>
      <w:r>
        <w:rPr>
          <w:lang w:val="es"/>
        </w:rPr>
        <w:t>Dispositivos de asistencia, como prótesis, audífonos y elementos de ayuda para la movilidad</w:t>
      </w:r>
    </w:p>
    <w:p w14:paraId="10A89856" w14:textId="77777777" w:rsidR="000C6672" w:rsidRDefault="00000000">
      <w:pPr>
        <w:pStyle w:val="Prrafodelista"/>
        <w:numPr>
          <w:ilvl w:val="1"/>
          <w:numId w:val="1"/>
        </w:numPr>
        <w:tabs>
          <w:tab w:val="left" w:pos="917"/>
        </w:tabs>
        <w:spacing w:before="35"/>
        <w:ind w:left="917" w:hanging="269"/>
      </w:pPr>
      <w:r>
        <w:rPr>
          <w:lang w:val="es"/>
        </w:rPr>
        <w:t>Atención a domicilio y atención a largo plazo</w:t>
      </w:r>
    </w:p>
    <w:p w14:paraId="10A89857" w14:textId="77777777" w:rsidR="000C6672" w:rsidRDefault="00000000">
      <w:pPr>
        <w:pStyle w:val="Prrafodelista"/>
        <w:numPr>
          <w:ilvl w:val="1"/>
          <w:numId w:val="1"/>
        </w:numPr>
        <w:tabs>
          <w:tab w:val="left" w:pos="917"/>
        </w:tabs>
        <w:ind w:left="917" w:hanging="269"/>
      </w:pPr>
      <w:r>
        <w:rPr>
          <w:lang w:val="es"/>
        </w:rPr>
        <w:t>Equipamiento y suministros médicos</w:t>
      </w:r>
    </w:p>
    <w:p w14:paraId="10A89858" w14:textId="77777777" w:rsidR="000C6672" w:rsidRDefault="000C6672">
      <w:pPr>
        <w:pStyle w:val="Prrafodelista"/>
        <w:sectPr w:rsidR="000C6672" w:rsidSect="00F82503">
          <w:type w:val="continuous"/>
          <w:pgSz w:w="12240" w:h="15840"/>
          <w:pgMar w:top="0" w:right="1080" w:bottom="980" w:left="720" w:header="0" w:footer="783" w:gutter="0"/>
          <w:cols w:num="2" w:space="152" w:equalWidth="0">
            <w:col w:w="3765" w:space="1257"/>
            <w:col w:w="5418"/>
          </w:cols>
        </w:sectPr>
      </w:pPr>
    </w:p>
    <w:p w14:paraId="10A89859" w14:textId="77777777" w:rsidR="000C6672" w:rsidRDefault="00000000">
      <w:pPr>
        <w:pStyle w:val="Textoindependiente"/>
        <w:rPr>
          <w:sz w:val="17"/>
        </w:rPr>
      </w:pPr>
      <w:r>
        <w:rPr>
          <w:noProof/>
          <w:sz w:val="17"/>
          <w:lang w:val="es"/>
        </w:rPr>
        <w:drawing>
          <wp:anchor distT="0" distB="0" distL="0" distR="0" simplePos="0" relativeHeight="487544832" behindDoc="1" locked="0" layoutInCell="1" allowOverlap="1" wp14:anchorId="10A8985E" wp14:editId="10A8985F">
            <wp:simplePos x="0" y="0"/>
            <wp:positionH relativeFrom="page">
              <wp:posOffset>0</wp:posOffset>
            </wp:positionH>
            <wp:positionV relativeFrom="page">
              <wp:posOffset>0</wp:posOffset>
            </wp:positionV>
            <wp:extent cx="7772400" cy="356430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7772400" cy="3564305"/>
                    </a:xfrm>
                    <a:prstGeom prst="rect">
                      <a:avLst/>
                    </a:prstGeom>
                  </pic:spPr>
                </pic:pic>
              </a:graphicData>
            </a:graphic>
          </wp:anchor>
        </w:drawing>
      </w:r>
      <w:r>
        <w:rPr>
          <w:noProof/>
          <w:sz w:val="17"/>
          <w:lang w:val="es"/>
        </w:rPr>
        <mc:AlternateContent>
          <mc:Choice Requires="wps">
            <w:drawing>
              <wp:anchor distT="0" distB="0" distL="0" distR="0" simplePos="0" relativeHeight="15729664" behindDoc="0" locked="0" layoutInCell="1" allowOverlap="1" wp14:anchorId="10A89860" wp14:editId="10A89861">
                <wp:simplePos x="0" y="0"/>
                <wp:positionH relativeFrom="page">
                  <wp:posOffset>7239391</wp:posOffset>
                </wp:positionH>
                <wp:positionV relativeFrom="page">
                  <wp:posOffset>6374806</wp:posOffset>
                </wp:positionV>
                <wp:extent cx="101600" cy="23507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2350770"/>
                        </a:xfrm>
                        <a:prstGeom prst="rect">
                          <a:avLst/>
                        </a:prstGeom>
                      </wps:spPr>
                      <wps:txbx>
                        <w:txbxContent>
                          <w:p w14:paraId="10A8986B" w14:textId="77777777" w:rsidR="000C6672" w:rsidRDefault="00000000">
                            <w:pPr>
                              <w:ind w:left="20"/>
                              <w:rPr>
                                <w:rFonts w:ascii="Arial"/>
                                <w:sz w:val="12"/>
                              </w:rPr>
                            </w:pPr>
                            <w:r>
                              <w:rPr>
                                <w:rFonts w:ascii="Arial" w:hAnsi="Arial"/>
                                <w:color w:val="939598"/>
                                <w:sz w:val="12"/>
                                <w:lang w:val="es"/>
                              </w:rPr>
                              <w:t>Cat. No. Ci44-28/2026E-PDF ISBN 978-0-660-97908-3 IRCC-4250</w:t>
                            </w:r>
                          </w:p>
                        </w:txbxContent>
                      </wps:txbx>
                      <wps:bodyPr vert="vert270" wrap="square" lIns="0" tIns="0" rIns="0" bIns="0" rtlCol="0">
                        <a:noAutofit/>
                      </wps:bodyPr>
                    </wps:wsp>
                  </a:graphicData>
                </a:graphic>
              </wp:anchor>
            </w:drawing>
          </mc:Choice>
          <mc:Fallback>
            <w:pict>
              <v:shapetype w14:anchorId="10A89860" id="_x0000_t202" coordsize="21600,21600" o:spt="202" path="m,l,21600r21600,l21600,xe">
                <v:stroke joinstyle="miter"/>
                <v:path gradientshapeok="t" o:connecttype="rect"/>
              </v:shapetype>
              <v:shape id="Textbox 7" o:spid="_x0000_s1026" type="#_x0000_t202" style="position:absolute;margin-left:570.05pt;margin-top:501.95pt;width:8pt;height:185.1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" filled="f" stroked="f">
                <v:textbox style="layout-flow:vertical;mso-layout-flow-alt:bottom-to-top" inset="0,0,0,0">
                  <w:txbxContent>
                    <w:p w14:paraId="10A8986B" w14:textId="77777777" w:rsidR="000C6672" w:rsidRDefault="00000000">
                      <w:pPr>
                        <w:ind w:left="20"/>
                        <w:rPr>
                          <w:rFonts w:ascii="Arial"/>
                          <w:sz w:val="12"/>
                        </w:rPr>
                      </w:pPr>
                      <w:r>
                        <w:rPr>
                          <w:rFonts w:ascii="Arial" w:hAnsi="Arial"/>
                          <w:color w:val="939598"/>
                          <w:sz w:val="12"/>
                          <w:lang w:val="es"/>
                        </w:rPr>
                        <w:t>Cat. No. Ci44-28/2026E-PDF ISBN 978-0-660-97908-3 IRCC-4250</w:t>
                      </w:r>
                    </w:p>
                  </w:txbxContent>
                </v:textbox>
                <w10:wrap anchorx="page" anchory="page"/>
              </v:shape>
            </w:pict>
          </mc:Fallback>
        </mc:AlternateContent>
      </w:r>
    </w:p>
    <w:p w14:paraId="10A8985A" w14:textId="77777777" w:rsidR="000C6672" w:rsidRDefault="000C6672">
      <w:pPr>
        <w:pStyle w:val="Textoindependiente"/>
        <w:spacing w:before="123"/>
        <w:rPr>
          <w:sz w:val="17"/>
        </w:rPr>
      </w:pPr>
    </w:p>
    <w:p w14:paraId="10A8985B" w14:textId="77777777" w:rsidR="000C6672" w:rsidRDefault="00000000">
      <w:pPr>
        <w:spacing w:before="1" w:line="264" w:lineRule="auto"/>
        <w:ind w:left="360"/>
        <w:rPr>
          <w:sz w:val="17"/>
        </w:rPr>
      </w:pPr>
      <w:r>
        <w:rPr>
          <w:b/>
          <w:bCs/>
          <w:sz w:val="17"/>
          <w:lang w:val="es"/>
        </w:rPr>
        <w:t xml:space="preserve">Nota: </w:t>
      </w:r>
      <w:r>
        <w:rPr>
          <w:sz w:val="17"/>
          <w:lang w:val="es"/>
        </w:rPr>
        <w:t>Los beneficiarios elegibles del IFHP continuarán pagando todo costo que exceda los límites reembolsados por el programa. Para obtener más información, consulte con un proveedor de atención médica registrado en el IFHP.</w:t>
      </w:r>
    </w:p>
    <w:sectPr w:rsidR="000C6672">
      <w:type w:val="continuous"/>
      <w:pgSz w:w="12240" w:h="15840"/>
      <w:pgMar w:top="0" w:right="1080" w:bottom="980" w:left="720" w:header="0"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42B83" w14:textId="77777777" w:rsidR="00E170E3" w:rsidRDefault="00E170E3">
      <w:r>
        <w:separator/>
      </w:r>
    </w:p>
  </w:endnote>
  <w:endnote w:type="continuationSeparator" w:id="0">
    <w:p w14:paraId="38DDEA2A" w14:textId="77777777" w:rsidR="00E170E3" w:rsidRDefault="00E1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9862" w14:textId="77777777" w:rsidR="000C6672" w:rsidRDefault="00000000">
    <w:pPr>
      <w:pStyle w:val="Textoindependiente"/>
      <w:spacing w:line="14" w:lineRule="auto"/>
      <w:rPr>
        <w:sz w:val="20"/>
      </w:rPr>
    </w:pPr>
    <w:r>
      <w:rPr>
        <w:noProof/>
        <w:sz w:val="20"/>
        <w:lang w:val="es"/>
      </w:rPr>
      <w:drawing>
        <wp:anchor distT="0" distB="0" distL="0" distR="0" simplePos="0" relativeHeight="487544832" behindDoc="1" locked="0" layoutInCell="1" allowOverlap="1" wp14:anchorId="10A89863" wp14:editId="10A89864">
          <wp:simplePos x="0" y="0"/>
          <wp:positionH relativeFrom="page">
            <wp:posOffset>2258519</wp:posOffset>
          </wp:positionH>
          <wp:positionV relativeFrom="page">
            <wp:posOffset>9509391</wp:posOffset>
          </wp:positionV>
          <wp:extent cx="920674" cy="17783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20674" cy="177830"/>
                  </a:xfrm>
                  <a:prstGeom prst="rect">
                    <a:avLst/>
                  </a:prstGeom>
                </pic:spPr>
              </pic:pic>
            </a:graphicData>
          </a:graphic>
        </wp:anchor>
      </w:drawing>
    </w:r>
    <w:r>
      <w:rPr>
        <w:noProof/>
        <w:sz w:val="20"/>
        <w:lang w:val="es"/>
      </w:rPr>
      <w:drawing>
        <wp:anchor distT="0" distB="0" distL="0" distR="0" simplePos="0" relativeHeight="487545344" behindDoc="1" locked="0" layoutInCell="1" allowOverlap="1" wp14:anchorId="10A89865" wp14:editId="10A89866">
          <wp:simplePos x="0" y="0"/>
          <wp:positionH relativeFrom="page">
            <wp:posOffset>1154024</wp:posOffset>
          </wp:positionH>
          <wp:positionV relativeFrom="page">
            <wp:posOffset>9509930</wp:posOffset>
          </wp:positionV>
          <wp:extent cx="955793" cy="17615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55793" cy="176156"/>
                  </a:xfrm>
                  <a:prstGeom prst="rect">
                    <a:avLst/>
                  </a:prstGeom>
                </pic:spPr>
              </pic:pic>
            </a:graphicData>
          </a:graphic>
        </wp:anchor>
      </w:drawing>
    </w:r>
    <w:r>
      <w:rPr>
        <w:noProof/>
        <w:sz w:val="20"/>
        <w:lang w:val="es"/>
      </w:rPr>
      <w:drawing>
        <wp:anchor distT="0" distB="0" distL="0" distR="0" simplePos="0" relativeHeight="487545856" behindDoc="1" locked="0" layoutInCell="1" allowOverlap="1" wp14:anchorId="10A89867" wp14:editId="10A89868">
          <wp:simplePos x="0" y="0"/>
          <wp:positionH relativeFrom="page">
            <wp:posOffset>6098805</wp:posOffset>
          </wp:positionH>
          <wp:positionV relativeFrom="page">
            <wp:posOffset>9434239</wp:posOffset>
          </wp:positionV>
          <wp:extent cx="997306" cy="23742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997306" cy="237426"/>
                  </a:xfrm>
                  <a:prstGeom prst="rect">
                    <a:avLst/>
                  </a:prstGeom>
                </pic:spPr>
              </pic:pic>
            </a:graphicData>
          </a:graphic>
        </wp:anchor>
      </w:drawing>
    </w:r>
    <w:r>
      <w:rPr>
        <w:noProof/>
        <w:sz w:val="20"/>
        <w:lang w:val="es"/>
      </w:rPr>
      <w:drawing>
        <wp:anchor distT="0" distB="0" distL="0" distR="0" simplePos="0" relativeHeight="487546368" behindDoc="1" locked="0" layoutInCell="1" allowOverlap="1" wp14:anchorId="10A89869" wp14:editId="10A8986A">
          <wp:simplePos x="0" y="0"/>
          <wp:positionH relativeFrom="page">
            <wp:posOffset>687844</wp:posOffset>
          </wp:positionH>
          <wp:positionV relativeFrom="page">
            <wp:posOffset>9510648</wp:posOffset>
          </wp:positionV>
          <wp:extent cx="317601" cy="15768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317601" cy="15768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D9FA" w14:textId="77777777" w:rsidR="00E170E3" w:rsidRDefault="00E170E3">
      <w:r>
        <w:separator/>
      </w:r>
    </w:p>
  </w:footnote>
  <w:footnote w:type="continuationSeparator" w:id="0">
    <w:p w14:paraId="56F2A04C" w14:textId="77777777" w:rsidR="00E170E3" w:rsidRDefault="00E17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303D1"/>
    <w:multiLevelType w:val="hybridMultilevel"/>
    <w:tmpl w:val="4E7448B8"/>
    <w:lvl w:ilvl="0" w:tplc="26528A22">
      <w:numFmt w:val="bullet"/>
      <w:lvlText w:val="•"/>
      <w:lvlJc w:val="left"/>
      <w:pPr>
        <w:ind w:left="629" w:hanging="270"/>
      </w:pPr>
      <w:rPr>
        <w:rFonts w:ascii="Lucida Sans" w:eastAsia="Lucida Sans" w:hAnsi="Lucida Sans" w:cs="Lucida Sans" w:hint="default"/>
        <w:b/>
        <w:bCs/>
        <w:i w:val="0"/>
        <w:iCs w:val="0"/>
        <w:spacing w:val="0"/>
        <w:w w:val="78"/>
        <w:sz w:val="22"/>
        <w:szCs w:val="22"/>
        <w:lang w:val="en-US" w:eastAsia="en-US" w:bidi="ar-SA"/>
      </w:rPr>
    </w:lvl>
    <w:lvl w:ilvl="1" w:tplc="E41A74C0">
      <w:numFmt w:val="bullet"/>
      <w:lvlText w:val="•"/>
      <w:lvlJc w:val="left"/>
      <w:pPr>
        <w:ind w:left="918" w:hanging="270"/>
      </w:pPr>
      <w:rPr>
        <w:rFonts w:ascii="Lucida Sans" w:eastAsia="Lucida Sans" w:hAnsi="Lucida Sans" w:cs="Lucida Sans" w:hint="default"/>
        <w:b w:val="0"/>
        <w:bCs w:val="0"/>
        <w:i w:val="0"/>
        <w:iCs w:val="0"/>
        <w:spacing w:val="0"/>
        <w:w w:val="82"/>
        <w:sz w:val="22"/>
        <w:szCs w:val="22"/>
        <w:lang w:val="en-US" w:eastAsia="en-US" w:bidi="ar-SA"/>
      </w:rPr>
    </w:lvl>
    <w:lvl w:ilvl="2" w:tplc="56241652">
      <w:numFmt w:val="bullet"/>
      <w:lvlText w:val="•"/>
      <w:lvlJc w:val="left"/>
      <w:pPr>
        <w:ind w:left="1236" w:hanging="270"/>
      </w:pPr>
      <w:rPr>
        <w:rFonts w:hint="default"/>
        <w:lang w:val="en-US" w:eastAsia="en-US" w:bidi="ar-SA"/>
      </w:rPr>
    </w:lvl>
    <w:lvl w:ilvl="3" w:tplc="BAF29058">
      <w:numFmt w:val="bullet"/>
      <w:lvlText w:val="•"/>
      <w:lvlJc w:val="left"/>
      <w:pPr>
        <w:ind w:left="1552" w:hanging="270"/>
      </w:pPr>
      <w:rPr>
        <w:rFonts w:hint="default"/>
        <w:lang w:val="en-US" w:eastAsia="en-US" w:bidi="ar-SA"/>
      </w:rPr>
    </w:lvl>
    <w:lvl w:ilvl="4" w:tplc="14A2E39E">
      <w:numFmt w:val="bullet"/>
      <w:lvlText w:val="•"/>
      <w:lvlJc w:val="left"/>
      <w:pPr>
        <w:ind w:left="1868" w:hanging="270"/>
      </w:pPr>
      <w:rPr>
        <w:rFonts w:hint="default"/>
        <w:lang w:val="en-US" w:eastAsia="en-US" w:bidi="ar-SA"/>
      </w:rPr>
    </w:lvl>
    <w:lvl w:ilvl="5" w:tplc="C4CC775E">
      <w:numFmt w:val="bullet"/>
      <w:lvlText w:val="•"/>
      <w:lvlJc w:val="left"/>
      <w:pPr>
        <w:ind w:left="2184" w:hanging="270"/>
      </w:pPr>
      <w:rPr>
        <w:rFonts w:hint="default"/>
        <w:lang w:val="en-US" w:eastAsia="en-US" w:bidi="ar-SA"/>
      </w:rPr>
    </w:lvl>
    <w:lvl w:ilvl="6" w:tplc="BCFA4A8C">
      <w:numFmt w:val="bullet"/>
      <w:lvlText w:val="•"/>
      <w:lvlJc w:val="left"/>
      <w:pPr>
        <w:ind w:left="2500" w:hanging="270"/>
      </w:pPr>
      <w:rPr>
        <w:rFonts w:hint="default"/>
        <w:lang w:val="en-US" w:eastAsia="en-US" w:bidi="ar-SA"/>
      </w:rPr>
    </w:lvl>
    <w:lvl w:ilvl="7" w:tplc="5E485D72">
      <w:numFmt w:val="bullet"/>
      <w:lvlText w:val="•"/>
      <w:lvlJc w:val="left"/>
      <w:pPr>
        <w:ind w:left="2816" w:hanging="270"/>
      </w:pPr>
      <w:rPr>
        <w:rFonts w:hint="default"/>
        <w:lang w:val="en-US" w:eastAsia="en-US" w:bidi="ar-SA"/>
      </w:rPr>
    </w:lvl>
    <w:lvl w:ilvl="8" w:tplc="48567C1E">
      <w:numFmt w:val="bullet"/>
      <w:lvlText w:val="•"/>
      <w:lvlJc w:val="left"/>
      <w:pPr>
        <w:ind w:left="3132" w:hanging="270"/>
      </w:pPr>
      <w:rPr>
        <w:rFonts w:hint="default"/>
        <w:lang w:val="en-US" w:eastAsia="en-US" w:bidi="ar-SA"/>
      </w:rPr>
    </w:lvl>
  </w:abstractNum>
  <w:num w:numId="1" w16cid:durableId="2046513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6672"/>
    <w:rsid w:val="000C6672"/>
    <w:rsid w:val="003D71C5"/>
    <w:rsid w:val="00885702"/>
    <w:rsid w:val="0090055C"/>
    <w:rsid w:val="00E170E3"/>
    <w:rsid w:val="00F82503"/>
    <w:rsid w:val="00F82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9837"/>
  <w15:docId w15:val="{C7D9DB1C-D633-4E60-B51B-DD8A5112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paragraph" w:styleId="Prrafodelista">
    <w:name w:val="List Paragraph"/>
    <w:basedOn w:val="Normal"/>
    <w:uiPriority w:val="1"/>
    <w:qFormat/>
    <w:pPr>
      <w:spacing w:before="77"/>
      <w:ind w:left="917" w:hanging="26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png"/></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1401</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Reviewer2</cp:lastModifiedBy>
  <cp:revision>3</cp:revision>
  <dcterms:created xsi:type="dcterms:W3CDTF">2026-03-06T15:33:00Z</dcterms:created>
  <dcterms:modified xsi:type="dcterms:W3CDTF">2026-03-16T14:59:00Z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2026-03-06T00:00:00Z</vt:filetime>
  </property>
</Properties>
</file>